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2E" w:rsidRPr="0050172E" w:rsidRDefault="0050172E" w:rsidP="0050172E">
      <w:pPr>
        <w:rPr>
          <w:rFonts w:ascii="Times New Roman" w:hAnsi="Times New Roman" w:cs="Times New Roman"/>
          <w:b/>
          <w:sz w:val="28"/>
          <w:szCs w:val="28"/>
        </w:rPr>
      </w:pPr>
      <w:r w:rsidRPr="0050172E">
        <w:rPr>
          <w:rFonts w:ascii="Times New Roman" w:hAnsi="Times New Roman" w:cs="Times New Roman"/>
          <w:b/>
          <w:sz w:val="28"/>
          <w:szCs w:val="28"/>
        </w:rPr>
        <w:t>ZASADY PRZYGOTOWANIA ARTYKUŁÓW DO „AUTOBIOGRAFII”</w:t>
      </w:r>
    </w:p>
    <w:p w:rsidR="005F45E1" w:rsidRDefault="005F45E1" w:rsidP="005F45E1">
      <w:pPr>
        <w:pStyle w:val="NormalnyWeb"/>
        <w:spacing w:before="0" w:beforeAutospacing="0" w:after="0" w:afterAutospacing="0" w:line="360" w:lineRule="auto"/>
      </w:pPr>
    </w:p>
    <w:p w:rsidR="005F45E1" w:rsidRDefault="005F45E1" w:rsidP="005F45E1">
      <w:pPr>
        <w:pStyle w:val="NormalnyWeb"/>
        <w:spacing w:before="0" w:beforeAutospacing="0" w:after="0" w:afterAutospacing="0" w:line="360" w:lineRule="auto"/>
      </w:pPr>
      <w:r>
        <w:t xml:space="preserve">Redakcja przyjmuje teksty o objętości nie mniejszej niż </w:t>
      </w:r>
      <w:r>
        <w:rPr>
          <w:u w:val="single"/>
        </w:rPr>
        <w:t>20–25 tysięcy znaków (ze spacjami)</w:t>
      </w:r>
      <w:r>
        <w:t>.</w:t>
      </w:r>
    </w:p>
    <w:p w:rsidR="005F45E1" w:rsidRDefault="005F45E1" w:rsidP="005F45E1">
      <w:pPr>
        <w:pStyle w:val="NormalnyWeb"/>
        <w:spacing w:before="0" w:beforeAutospacing="0" w:after="0" w:afterAutospacing="0" w:line="360" w:lineRule="auto"/>
      </w:pPr>
      <w:r>
        <w:t>Wymogiem przyjęcia tekstu jest dostosowanie sposobu cytowania i zapisów bibliografic</w:t>
      </w:r>
      <w:r>
        <w:t>z</w:t>
      </w:r>
      <w:r>
        <w:t xml:space="preserve">nych do </w:t>
      </w:r>
      <w:r w:rsidRPr="005F45E1">
        <w:rPr>
          <w:b/>
          <w:color w:val="FF0000"/>
        </w:rPr>
        <w:t>stylu Chicago</w:t>
      </w:r>
      <w:r>
        <w:t>, którego zasady opisane są w pliku do pobrania na stronie czasopisma.</w:t>
      </w:r>
    </w:p>
    <w:p w:rsidR="0050172E" w:rsidRDefault="0050172E" w:rsidP="0050172E">
      <w:pPr>
        <w:pStyle w:val="NormalnyWeb"/>
        <w:spacing w:before="0" w:beforeAutospacing="0" w:after="0" w:afterAutospacing="0" w:line="360" w:lineRule="auto"/>
        <w:rPr>
          <w:b/>
        </w:rPr>
      </w:pPr>
      <w:r>
        <w:t xml:space="preserve">Prosimy o przygotowanie artykułów zgodnie z </w:t>
      </w:r>
      <w:r w:rsidR="005F45E1">
        <w:t>zamieszczonymi poniżej regułami.</w:t>
      </w:r>
      <w:r>
        <w:br/>
      </w:r>
      <w:r>
        <w:br/>
        <w:t>Tekst powinien być przygotowany w programie Microsoft Office Word, zgodnie z następuj</w:t>
      </w:r>
      <w:r>
        <w:t>ą</w:t>
      </w:r>
      <w:r>
        <w:t>cymi wytycznymi (domyślne ustawienia programu Microsoft Office Word):</w:t>
      </w:r>
      <w:r>
        <w:br/>
      </w:r>
      <w:r>
        <w:br/>
        <w:t xml:space="preserve">•    czcionka tekstu głównego: </w:t>
      </w:r>
      <w:r w:rsidRPr="00081DC4">
        <w:rPr>
          <w:b/>
          <w:color w:val="FF0000"/>
        </w:rPr>
        <w:t>Times New Roman, 12 pkt</w:t>
      </w:r>
      <w:r>
        <w:br/>
        <w:t xml:space="preserve">•    </w:t>
      </w:r>
      <w:r w:rsidRPr="00081DC4">
        <w:rPr>
          <w:b/>
          <w:color w:val="FF0000"/>
        </w:rPr>
        <w:t>ponumerowane strony</w:t>
      </w:r>
    </w:p>
    <w:p w:rsidR="0050172E" w:rsidRDefault="0050172E" w:rsidP="0050172E">
      <w:pPr>
        <w:pStyle w:val="NormalnyWeb"/>
        <w:spacing w:before="0" w:beforeAutospacing="0" w:after="0" w:afterAutospacing="0" w:line="360" w:lineRule="auto"/>
        <w:rPr>
          <w:b/>
        </w:rPr>
      </w:pPr>
      <w:r>
        <w:t xml:space="preserve">•    </w:t>
      </w:r>
      <w:r w:rsidR="003E40C0" w:rsidRPr="00081DC4">
        <w:rPr>
          <w:b/>
          <w:color w:val="FF0000"/>
        </w:rPr>
        <w:t>afiliacja pod nazwiskiem</w:t>
      </w:r>
    </w:p>
    <w:p w:rsidR="0050172E" w:rsidRDefault="0050172E" w:rsidP="0050172E">
      <w:pPr>
        <w:pStyle w:val="NormalnyWeb"/>
        <w:spacing w:before="0" w:beforeAutospacing="0" w:after="0" w:afterAutospacing="0" w:line="360" w:lineRule="auto"/>
        <w:rPr>
          <w:b/>
        </w:rPr>
      </w:pPr>
      <w:r>
        <w:t xml:space="preserve">•    </w:t>
      </w:r>
      <w:r w:rsidR="003E40C0" w:rsidRPr="00081DC4">
        <w:rPr>
          <w:b/>
          <w:color w:val="FF0000"/>
        </w:rPr>
        <w:t>w pierwszym przypisie (przypis: gwiazdka) – kontakt mailowy do autora/autorki</w:t>
      </w:r>
    </w:p>
    <w:p w:rsidR="003E40C0" w:rsidRDefault="0050172E" w:rsidP="0050172E">
      <w:pPr>
        <w:pStyle w:val="NormalnyWeb"/>
        <w:spacing w:before="0" w:beforeAutospacing="0" w:after="0" w:afterAutospacing="0" w:line="360" w:lineRule="auto"/>
        <w:rPr>
          <w:b/>
        </w:rPr>
      </w:pPr>
      <w:r>
        <w:t xml:space="preserve">•    </w:t>
      </w:r>
      <w:r w:rsidR="003E40C0" w:rsidRPr="00081DC4">
        <w:rPr>
          <w:b/>
          <w:color w:val="FF0000"/>
        </w:rPr>
        <w:t>streszczenie w języku polskim + słowa kluczowe</w:t>
      </w:r>
    </w:p>
    <w:p w:rsidR="003E40C0" w:rsidRDefault="003E40C0" w:rsidP="0050172E">
      <w:pPr>
        <w:pStyle w:val="NormalnyWeb"/>
        <w:spacing w:before="0" w:beforeAutospacing="0" w:after="0" w:afterAutospacing="0" w:line="360" w:lineRule="auto"/>
      </w:pPr>
      <w:r>
        <w:t xml:space="preserve">•    </w:t>
      </w:r>
      <w:r w:rsidRPr="00081DC4">
        <w:rPr>
          <w:b/>
          <w:color w:val="FF0000"/>
        </w:rPr>
        <w:t>streszczenie w języku angielskim + tytuł po angielsku + słowa kluczowe</w:t>
      </w:r>
      <w:r w:rsidR="0050172E">
        <w:br/>
        <w:t>•    WYŁĄCZONA opcja dzielenia wyrazów i justowania  (tekst wyrównany do lewej)</w:t>
      </w:r>
      <w:r w:rsidR="0050172E">
        <w:br/>
        <w:t>•    proszę NIE STOSOWAĆ w tekście WERSALIKÓW i KAPITALIKÓW</w:t>
      </w:r>
      <w:r w:rsidR="0050172E">
        <w:br/>
      </w:r>
    </w:p>
    <w:p w:rsidR="003E40C0" w:rsidRDefault="003E40C0" w:rsidP="003E40C0">
      <w:pPr>
        <w:pStyle w:val="NormalnyWeb"/>
        <w:spacing w:after="0" w:afterAutospacing="0" w:line="360" w:lineRule="auto"/>
      </w:pPr>
      <w:r>
        <w:t>•    zdjęcia, skany wraz z tytułami i wskazaniem źródła umieszczone we właściwym miejscu w tekście</w:t>
      </w:r>
      <w:r>
        <w:br/>
        <w:t>‒    każdy element graficzny należy dodatkowo przekazać w OSOBNYM PLIKU ŹRÓDŁ</w:t>
      </w:r>
      <w:r>
        <w:t>O</w:t>
      </w:r>
      <w:r>
        <w:t xml:space="preserve">WYM </w:t>
      </w:r>
      <w:r>
        <w:br/>
        <w:t xml:space="preserve">‒    fotografie powinny być przygotowane w rozdzielczości 300 </w:t>
      </w:r>
      <w:proofErr w:type="spellStart"/>
      <w:r>
        <w:t>dpi</w:t>
      </w:r>
      <w:proofErr w:type="spellEnd"/>
      <w:r>
        <w:t xml:space="preserve"> i zapisane w jednym z formatów JPG, TIF lub PDF</w:t>
      </w:r>
      <w:r>
        <w:br/>
        <w:t>•    elementy graficzne w skali szarości</w:t>
      </w:r>
      <w:r>
        <w:br/>
        <w:t>‒    z wyjątkiem materiałów, które będą drukowane w kolorze, na co potrzebna jest wcz</w:t>
      </w:r>
      <w:r>
        <w:t>e</w:t>
      </w:r>
      <w:r>
        <w:t>śniejsza zgoda</w:t>
      </w:r>
    </w:p>
    <w:p w:rsidR="003E40C0" w:rsidRDefault="003E40C0" w:rsidP="003E40C0">
      <w:pPr>
        <w:pStyle w:val="NormalnyWeb"/>
        <w:spacing w:after="0" w:afterAutospacing="0" w:line="360" w:lineRule="auto"/>
      </w:pPr>
      <w:r>
        <w:t xml:space="preserve">Uzyskanie </w:t>
      </w:r>
      <w:r w:rsidRPr="0050172E">
        <w:rPr>
          <w:b/>
        </w:rPr>
        <w:t>ZGODY WŁAŚCICIELI PRAW AUTORSKICH</w:t>
      </w:r>
      <w:r>
        <w:t xml:space="preserve"> i podanie źródła pochodzenia materiałów wykorzystanych w pracy jest obowiązkiem autora.</w:t>
      </w:r>
    </w:p>
    <w:p w:rsidR="003E40C0" w:rsidRDefault="003E40C0" w:rsidP="0050172E">
      <w:pPr>
        <w:pStyle w:val="NormalnyWeb"/>
        <w:spacing w:before="0" w:beforeAutospacing="0" w:after="0" w:afterAutospacing="0" w:line="360" w:lineRule="auto"/>
      </w:pPr>
    </w:p>
    <w:p w:rsidR="0066104B" w:rsidRDefault="0050172E" w:rsidP="0066104B">
      <w:pPr>
        <w:pStyle w:val="NormalnyWeb"/>
        <w:spacing w:before="0" w:beforeAutospacing="0" w:after="0" w:afterAutospacing="0" w:line="360" w:lineRule="auto"/>
      </w:pPr>
      <w:r>
        <w:lastRenderedPageBreak/>
        <w:t xml:space="preserve">•    tabele, wykresy, rysunki, schematy (edytowalne), wraz z tytułami i wskazaniem źródła umieszczone we właściwym miejscu w tekście, bez ramek </w:t>
      </w:r>
    </w:p>
    <w:p w:rsidR="0050172E" w:rsidRDefault="0050172E" w:rsidP="0066104B">
      <w:pPr>
        <w:pStyle w:val="NormalnyWeb"/>
        <w:spacing w:before="0" w:beforeAutospacing="0" w:after="0" w:afterAutospacing="0" w:line="360" w:lineRule="auto"/>
      </w:pPr>
      <w:r>
        <w:t>‒ niezależnie od tekstu należy przekazać pliki źródłowe, jeżeli tabele, wykresy itp. były w</w:t>
      </w:r>
      <w:r>
        <w:t>y</w:t>
      </w:r>
      <w:r>
        <w:t xml:space="preserve">konane w programach Excel, </w:t>
      </w:r>
      <w:proofErr w:type="spellStart"/>
      <w:r>
        <w:t>Statistica</w:t>
      </w:r>
      <w:proofErr w:type="spellEnd"/>
      <w:r>
        <w:t xml:space="preserve">, </w:t>
      </w:r>
      <w:proofErr w:type="spellStart"/>
      <w:r>
        <w:t>Illustrator</w:t>
      </w:r>
      <w:proofErr w:type="spellEnd"/>
      <w:r>
        <w:t xml:space="preserve">, Corel Draw, Power Point itp. </w:t>
      </w:r>
      <w:r>
        <w:br/>
        <w:t>‒ wymiary: szerokość – 124 mm, wysokość – 150 mm</w:t>
      </w:r>
      <w:r>
        <w:br/>
        <w:t>‒ minimalna wielkość fontu 6 pkt, maksymalna 10 pkt</w:t>
      </w:r>
      <w:r>
        <w:br/>
        <w:t xml:space="preserve">•    wzory – preferowany program </w:t>
      </w:r>
      <w:proofErr w:type="spellStart"/>
      <w:r>
        <w:t>Math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lub w innym edytorze wzorów (edytowalne) </w:t>
      </w:r>
      <w:r>
        <w:br/>
        <w:t>‒    wielkość czcionki i krój, takie jak w publikacji tekst zasadniczy</w:t>
      </w:r>
      <w:r>
        <w:br/>
      </w:r>
      <w:r>
        <w:br/>
        <w:t xml:space="preserve">Materiały przekazane do Wydawnictwa to: </w:t>
      </w:r>
      <w:r>
        <w:br/>
        <w:t>•    plik w programie Microsoft Office Word</w:t>
      </w:r>
      <w:r>
        <w:br/>
        <w:t>•    ten sam plik w formacie PDF</w:t>
      </w:r>
      <w:r>
        <w:br/>
        <w:t>•    pliki źródłowe wykresów, tabel, schematów, fotografii, skanów, wzorów</w:t>
      </w:r>
    </w:p>
    <w:p w:rsidR="0050172E" w:rsidRPr="00081DC4" w:rsidRDefault="0050172E" w:rsidP="0050172E">
      <w:pPr>
        <w:pStyle w:val="NormalnyWeb"/>
        <w:spacing w:after="0" w:afterAutospacing="0" w:line="360" w:lineRule="auto"/>
        <w:jc w:val="both"/>
        <w:rPr>
          <w:b/>
          <w:color w:val="FF0000"/>
        </w:rPr>
      </w:pPr>
      <w:r w:rsidRPr="00081DC4">
        <w:rPr>
          <w:b/>
          <w:color w:val="FF0000"/>
        </w:rPr>
        <w:t>Styl cytowań: CHICAGO (zasady poniżej)</w:t>
      </w:r>
    </w:p>
    <w:p w:rsidR="0050172E" w:rsidRDefault="0050172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br w:type="page"/>
      </w:r>
    </w:p>
    <w:p w:rsidR="00081DC4" w:rsidRPr="00081DC4" w:rsidRDefault="00081DC4" w:rsidP="00081DC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1DC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STYL CHICAGO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Tworzenie cytatów i przypisów w stylu Chicago:</w:t>
      </w:r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cytaty w tekśc</w:t>
      </w:r>
      <w:r w:rsidRPr="00081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e odsyłają czytelnika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źródła informacji w 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przypisach na końcu cytowanego zdania.</w:t>
      </w:r>
      <w:bookmarkStart w:id="0" w:name="_GoBack"/>
      <w:bookmarkEnd w:id="0"/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to lista źródeł uporządkowanych i ponumerowanych zgodnie z numerem p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rządkowym danego cytowanego zdania.</w:t>
      </w:r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cytowane zdanie ma indeks górny z numerem 1. Drugie cytowane zdanie – indeks górny z numerem 2 itd.</w:t>
      </w:r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Indeksy górne (odnośnik do przypisu) są umieszczane przed znakami interpunkcy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nymi.</w:t>
      </w:r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są umieszczone na tej samej stronie co zdanie cytowane – u dołu stron.</w:t>
      </w:r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zazwyczaj oddzielone są od tekstu linią.</w:t>
      </w:r>
    </w:p>
    <w:p w:rsidR="00081DC4" w:rsidRPr="008F304A" w:rsidRDefault="00081DC4" w:rsidP="00081DC4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 przypis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i bibliografii – według wzorów podanych poniżej.</w:t>
      </w:r>
    </w:p>
    <w:p w:rsidR="00081DC4" w:rsidRPr="008F304A" w:rsidRDefault="00081DC4" w:rsidP="00081DC4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81DC4" w:rsidRPr="008F304A" w:rsidRDefault="00081DC4" w:rsidP="00081DC4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Tworzenie przypisów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 </w:t>
      </w:r>
      <w:r w:rsidRPr="008F304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ibliografii</w:t>
      </w:r>
      <w:r w:rsidRPr="008F304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stylu Chicago</w:t>
      </w:r>
    </w:p>
    <w:p w:rsidR="00081DC4" w:rsidRPr="00AA3848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3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Format przypisów:</w:t>
      </w:r>
    </w:p>
    <w:p w:rsidR="00081DC4" w:rsidRPr="00AA3848" w:rsidRDefault="00081DC4" w:rsidP="00081DC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AA3848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Imię i Nazwisko autora, </w:t>
      </w:r>
      <w:r w:rsidRPr="00AA384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Tytuł książki </w:t>
      </w:r>
      <w:r w:rsidRPr="00AA3848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pl-PL"/>
        </w:rPr>
        <w:t>(Miejsce wydania: w</w:t>
      </w:r>
      <w:r w:rsidRPr="00AA3848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ydawnictwo, rok wydania), numeracja stron bez skrótów s./str.</w:t>
      </w:r>
    </w:p>
    <w:p w:rsidR="00081DC4" w:rsidRPr="00AA3848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A38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Format bibliografii:</w:t>
      </w:r>
    </w:p>
    <w:p w:rsidR="00081DC4" w:rsidRPr="008F304A" w:rsidRDefault="00081DC4" w:rsidP="00081DC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Nazwisko autora ksią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żki, Pierwsze imię, Drugie imię.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Tytuł książki</w:t>
      </w:r>
      <w:r w:rsidRPr="008F304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>.</w:t>
      </w:r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8F304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>Miejsce wydania: w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ydawnictwo, rok wydania.</w:t>
      </w:r>
    </w:p>
    <w:p w:rsidR="00081DC4" w:rsidRPr="008F304A" w:rsidRDefault="00081DC4" w:rsidP="00081D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jest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porządku alfabetycznym.</w:t>
      </w:r>
    </w:p>
    <w:p w:rsidR="00081DC4" w:rsidRPr="008F304A" w:rsidRDefault="00081DC4" w:rsidP="00081D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znajduje się na samym końcu całego tekstu.</w:t>
      </w:r>
    </w:p>
    <w:p w:rsidR="00081DC4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Przykładowe zapisy w </w:t>
      </w:r>
      <w:r w:rsidRPr="008F304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prz</w:t>
      </w:r>
      <w:r w:rsidRPr="00AA384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y</w:t>
      </w:r>
      <w:r w:rsidRPr="008F304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pisach (1) </w:t>
      </w:r>
      <w:r w:rsidRPr="008F30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</w:t>
      </w:r>
      <w:r w:rsidRPr="008F30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bibliografii (2)</w:t>
      </w:r>
      <w:r w:rsidRPr="008F30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081DC4" w:rsidRPr="008F304A" w:rsidRDefault="00081DC4" w:rsidP="00081D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Przypis.</w:t>
      </w:r>
    </w:p>
    <w:p w:rsidR="00081DC4" w:rsidRPr="008F304A" w:rsidRDefault="00081DC4" w:rsidP="00081D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Bibliografia.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 autor:</w:t>
      </w:r>
    </w:p>
    <w:p w:rsidR="00081DC4" w:rsidRPr="003D316B" w:rsidRDefault="00081DC4" w:rsidP="00081DC4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Michael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Pollan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Omnivore’s Dilemma: A Natural History of Four Meals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(New York: Penguin, 2006), 99–100.</w:t>
      </w:r>
    </w:p>
    <w:p w:rsidR="00081DC4" w:rsidRPr="008F304A" w:rsidRDefault="00081DC4" w:rsidP="00081DC4">
      <w:pPr>
        <w:pStyle w:val="Akapitzlist"/>
        <w:spacing w:before="120" w:after="120" w:line="240" w:lineRule="auto"/>
        <w:ind w:left="567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cytowanie tego samego źródła:</w:t>
      </w:r>
    </w:p>
    <w:p w:rsidR="00081DC4" w:rsidRPr="003D316B" w:rsidRDefault="00081DC4" w:rsidP="00081DC4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7030A0"/>
          <w:sz w:val="24"/>
          <w:szCs w:val="24"/>
          <w:lang w:val="en-US" w:eastAsia="pl-PL"/>
        </w:rPr>
      </w:pP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Pollan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Omnivore’s</w:t>
      </w:r>
      <w:r w:rsidRPr="003D316B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val="en-US" w:eastAsia="pl-PL"/>
        </w:rPr>
        <w:t>, 100–102.</w:t>
      </w:r>
    </w:p>
    <w:p w:rsidR="00081DC4" w:rsidRPr="003D316B" w:rsidRDefault="00081DC4" w:rsidP="00081DC4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DC4" w:rsidRPr="008F304A" w:rsidRDefault="00081DC4" w:rsidP="00081DC4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ab/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Pollan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Michael.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Omnivore’s Dilemma: A Natural History of Four Meals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New York: </w:t>
      </w:r>
      <w:proofErr w:type="spellStart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Penguin</w:t>
      </w:r>
      <w:proofErr w:type="spellEnd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2006.</w:t>
      </w:r>
    </w:p>
    <w:p w:rsidR="00081DC4" w:rsidRPr="008F304A" w:rsidRDefault="00081DC4" w:rsidP="00081DC4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lub więcej autorów:</w:t>
      </w:r>
    </w:p>
    <w:p w:rsidR="00081DC4" w:rsidRPr="003D316B" w:rsidRDefault="00081DC4" w:rsidP="00081DC4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Geoffrey C. Ward, Ken Burns,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War: An Intimate History, 1941–1945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(New York: Knopf, 2007), 52.</w:t>
      </w:r>
    </w:p>
    <w:p w:rsidR="00081DC4" w:rsidRPr="008F304A" w:rsidRDefault="00081DC4" w:rsidP="00081DC4">
      <w:pPr>
        <w:pStyle w:val="Akapitzlist"/>
        <w:spacing w:before="120"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cytowanie tego samego źródła:</w:t>
      </w:r>
    </w:p>
    <w:p w:rsidR="00081DC4" w:rsidRPr="008F304A" w:rsidRDefault="00081DC4" w:rsidP="00081D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spellStart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Ward</w:t>
      </w:r>
      <w:proofErr w:type="spellEnd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, Burns, </w:t>
      </w:r>
      <w:proofErr w:type="spellStart"/>
      <w:r w:rsidRPr="008F304A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The</w:t>
      </w:r>
      <w:proofErr w:type="spellEnd"/>
      <w:r w:rsidRPr="008F304A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 War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 12.</w:t>
      </w:r>
    </w:p>
    <w:p w:rsidR="00081DC4" w:rsidRPr="008F304A" w:rsidRDefault="00081DC4" w:rsidP="00081D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Ward, Geoffrey C., Ken Burns.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War: An Intimate History, 1941–1945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New York: </w:t>
      </w:r>
      <w:proofErr w:type="spellStart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Knopf</w:t>
      </w:r>
      <w:proofErr w:type="spellEnd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2007.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3D316B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Czterech lub więcej autorów, lista wszystkich autorów zamieszczana jest w bibliografii; w przypisie pojawia się tylko pierwszy autor z informacją: </w:t>
      </w:r>
      <w:r w:rsidRPr="008F304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et al</w:t>
      </w: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D31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</w:t>
      </w:r>
      <w:proofErr w:type="spellStart"/>
      <w:r w:rsidRPr="003D31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</w:t>
      </w:r>
      <w:proofErr w:type="spellEnd"/>
      <w:r w:rsidRPr="003D31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in.):</w:t>
      </w:r>
    </w:p>
    <w:p w:rsidR="00081DC4" w:rsidRPr="003D316B" w:rsidRDefault="00081DC4" w:rsidP="00081DC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lastRenderedPageBreak/>
        <w:t xml:space="preserve">1. 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ab/>
        <w:t xml:space="preserve">Dana Barnes et al.,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Plastics: Essays on American Corporate Ascendance in the 1960s</w:t>
      </w:r>
      <w:r w:rsidRPr="003D316B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val="en-US" w:eastAsia="pl-PL"/>
        </w:rPr>
        <w:t>.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(Chicago: University of Chicago Press, 2010), 80–102.</w:t>
      </w:r>
    </w:p>
    <w:p w:rsidR="00081DC4" w:rsidRPr="003D316B" w:rsidRDefault="00081DC4" w:rsidP="00081DC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081DC4" w:rsidRPr="003D316B" w:rsidRDefault="00081DC4" w:rsidP="00081DC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ab/>
        <w:t>Barnes, Dana, John D. Kelly, Beatrice Jauregui, Sean T. Mitchell, Jeremy Walton.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 xml:space="preserve"> Plastics: Essays on American Corporate Ascendance in the 1960s</w:t>
      </w:r>
      <w:r w:rsidRPr="003D316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pl-PL"/>
        </w:rPr>
        <w:t>.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Chicago: Un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versity of Chicago Press, 2010.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Redaktor/publikacja zbiorowa pod redakcją, tłumaczenie: </w:t>
      </w:r>
    </w:p>
    <w:p w:rsidR="00081DC4" w:rsidRPr="003D316B" w:rsidRDefault="00081DC4" w:rsidP="00081DC4">
      <w:pPr>
        <w:pStyle w:val="Akapitzlist"/>
        <w:numPr>
          <w:ilvl w:val="0"/>
          <w:numId w:val="9"/>
        </w:numPr>
        <w:spacing w:after="12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Richmond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Lattimore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tłum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.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Iliad of Homer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(Chicago: University of Chicago Press, 1951), 91–92.</w:t>
      </w:r>
    </w:p>
    <w:p w:rsidR="00081DC4" w:rsidRPr="008F304A" w:rsidRDefault="00081DC4" w:rsidP="00081DC4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Gabriel </w:t>
      </w:r>
      <w:proofErr w:type="spellStart"/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>García</w:t>
      </w:r>
      <w:proofErr w:type="spellEnd"/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>Márquez</w:t>
      </w:r>
      <w:proofErr w:type="spellEnd"/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, </w:t>
      </w:r>
      <w:r w:rsidRPr="003D316B">
        <w:rPr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Love in the Time of Cholera</w:t>
      </w:r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, </w:t>
      </w:r>
      <w:proofErr w:type="spellStart"/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>tłum</w:t>
      </w:r>
      <w:proofErr w:type="spellEnd"/>
      <w:r w:rsidRPr="003D316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. </w:t>
      </w:r>
      <w:r w:rsidRPr="008F304A">
        <w:rPr>
          <w:rFonts w:ascii="Times New Roman" w:hAnsi="Times New Roman" w:cs="Times New Roman"/>
          <w:color w:val="7030A0"/>
          <w:sz w:val="24"/>
          <w:szCs w:val="24"/>
        </w:rPr>
        <w:t xml:space="preserve">Edith Grossman (London: </w:t>
      </w:r>
      <w:proofErr w:type="spellStart"/>
      <w:r w:rsidRPr="008F304A">
        <w:rPr>
          <w:rFonts w:ascii="Times New Roman" w:hAnsi="Times New Roman" w:cs="Times New Roman"/>
          <w:color w:val="7030A0"/>
          <w:sz w:val="24"/>
          <w:szCs w:val="24"/>
        </w:rPr>
        <w:t>Cape</w:t>
      </w:r>
      <w:proofErr w:type="spellEnd"/>
      <w:r w:rsidRPr="008F304A">
        <w:rPr>
          <w:rFonts w:ascii="Times New Roman" w:hAnsi="Times New Roman" w:cs="Times New Roman"/>
          <w:color w:val="7030A0"/>
          <w:sz w:val="24"/>
          <w:szCs w:val="24"/>
        </w:rPr>
        <w:t>, 1988), 242–255.</w:t>
      </w:r>
    </w:p>
    <w:p w:rsidR="00081DC4" w:rsidRPr="008F304A" w:rsidRDefault="00081DC4" w:rsidP="00081DC4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3D316B" w:rsidRDefault="00081DC4" w:rsidP="00081DC4">
      <w:pPr>
        <w:pStyle w:val="Akapitzlist"/>
        <w:numPr>
          <w:ilvl w:val="0"/>
          <w:numId w:val="9"/>
        </w:numPr>
        <w:spacing w:after="12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Lattimore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Richmond,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tłum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Iliad of Homer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 Chicago: University of Chicago Press, 1951.</w:t>
      </w:r>
    </w:p>
    <w:p w:rsidR="00081DC4" w:rsidRPr="003D316B" w:rsidRDefault="00081DC4" w:rsidP="00081DC4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>García</w:t>
      </w:r>
      <w:proofErr w:type="spellEnd"/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>Márquez</w:t>
      </w:r>
      <w:proofErr w:type="spellEnd"/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Gabriel. </w:t>
      </w:r>
      <w:r w:rsidRPr="003D316B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Love in the Time of Cholera</w:t>
      </w:r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>Tłum</w:t>
      </w:r>
      <w:proofErr w:type="spellEnd"/>
      <w:r w:rsidRPr="003D316B">
        <w:rPr>
          <w:rFonts w:ascii="Times New Roman" w:hAnsi="Times New Roman" w:cs="Times New Roman"/>
          <w:color w:val="FF0000"/>
          <w:sz w:val="24"/>
          <w:szCs w:val="24"/>
          <w:lang w:val="en-US"/>
        </w:rPr>
        <w:t>. Edith Grossman. London: Cape, 1988.</w:t>
      </w:r>
    </w:p>
    <w:p w:rsidR="00081DC4" w:rsidRPr="003D316B" w:rsidRDefault="00081DC4" w:rsidP="00081DC4">
      <w:pPr>
        <w:pStyle w:val="Akapitzlist"/>
        <w:spacing w:after="0" w:line="240" w:lineRule="auto"/>
        <w:ind w:left="1134"/>
        <w:jc w:val="both"/>
        <w:rPr>
          <w:lang w:val="en-US"/>
        </w:rPr>
      </w:pPr>
    </w:p>
    <w:p w:rsidR="00081DC4" w:rsidRPr="003D316B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Rozdział</w:t>
      </w:r>
      <w:proofErr w:type="spellEnd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lub</w:t>
      </w:r>
      <w:proofErr w:type="spellEnd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część</w:t>
      </w:r>
      <w:proofErr w:type="spellEnd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3D31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książki</w:t>
      </w:r>
      <w:proofErr w:type="spellEnd"/>
    </w:p>
    <w:p w:rsidR="00081DC4" w:rsidRPr="003D316B" w:rsidRDefault="00081DC4" w:rsidP="00081DC4">
      <w:pPr>
        <w:spacing w:before="100" w:beforeAutospacing="1" w:after="100" w:afterAutospacing="1" w:line="240" w:lineRule="auto"/>
        <w:ind w:left="1134" w:hanging="283"/>
        <w:jc w:val="both"/>
        <w:outlineLvl w:val="4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pl-PL"/>
        </w:rPr>
        <w:t>1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. 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ab/>
        <w:t xml:space="preserve">John D. Kelly, „Seeing Red: Mao Fetishism,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Pax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Americana, and the Moral Economy of War”, w: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Anthropology and Global Counterinsurgency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red. John D. Kelly et al. (Chicago: University of Chicago Press, 2010), 77.</w:t>
      </w:r>
    </w:p>
    <w:p w:rsidR="00081DC4" w:rsidRPr="008F304A" w:rsidRDefault="00081DC4" w:rsidP="00081DC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ab/>
        <w:t xml:space="preserve">Kelly, John D. „Seeing Red: Mao Fetishism,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Pax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Americana, and the Moral Economy of War”. W: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Anthropology and Global Counterinsurgency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red. John D. Kelly, Beatrice Jauregui, Sean T. Mitchell, Jeremy Walton, 67–83. 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Chicago: University of Chicago Press, 2010.</w:t>
      </w:r>
    </w:p>
    <w:p w:rsidR="00081DC4" w:rsidRPr="008F304A" w:rsidRDefault="00081DC4" w:rsidP="00081D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Przedmowa, wprowadzenie lub podobna część książki</w:t>
      </w:r>
    </w:p>
    <w:p w:rsidR="00081DC4" w:rsidRPr="003D316B" w:rsidRDefault="00081DC4" w:rsidP="00081DC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1. </w:t>
      </w:r>
      <w:r w:rsidRPr="003D31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James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Rieger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wstęp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do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Frankenstein; or, The Modern Prometheus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Mary Wol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l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stonecraft Shelley (Chicago: University of Chicago Press, 1982), xx–xxi.</w:t>
      </w:r>
    </w:p>
    <w:p w:rsidR="00081DC4" w:rsidRPr="008F304A" w:rsidRDefault="00081DC4" w:rsidP="00081DC4">
      <w:pPr>
        <w:spacing w:before="240"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ab/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Rieger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James.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Wstęp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do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Frankenstein; or, The Modern Prometheus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, Mary Wol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l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stonecraft Shelley, xi–xxxvii. 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Chicago: University of Chicago Press, 1982.</w:t>
      </w:r>
    </w:p>
    <w:p w:rsidR="00081DC4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Elektroniczna wersja książki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książka jest dostępna w więcej niż jednym formacie, należy przytoczyć wersję, z której się korzystało. Dla książek, adresów URL – podawanie dostępu jest konieczne, gdy wymaga tego wydawca lub wymagane jest to w danej dziedzinie nauki; j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eśli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stałe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numery stron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nie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są dostępne</w:t>
      </w:r>
      <w:r w:rsidRPr="008F304A">
        <w:rPr>
          <w:rFonts w:ascii="Times New Roman" w:hAnsi="Times New Roman" w:cs="Times New Roman"/>
          <w:sz w:val="24"/>
          <w:szCs w:val="24"/>
        </w:rPr>
        <w:t xml:space="preserve">, można dołączyć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tytuł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rozdziału, numer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rozdział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lub inny</w:t>
      </w:r>
      <w:r w:rsidRPr="008F304A">
        <w:rPr>
          <w:rFonts w:ascii="Times New Roman" w:hAnsi="Times New Roman" w:cs="Times New Roman"/>
          <w:sz w:val="24"/>
          <w:szCs w:val="24"/>
        </w:rPr>
        <w:t xml:space="preserve"> </w:t>
      </w:r>
      <w:r w:rsidRPr="008F304A">
        <w:rPr>
          <w:rStyle w:val="hps"/>
          <w:rFonts w:ascii="Times New Roman" w:hAnsi="Times New Roman" w:cs="Times New Roman"/>
          <w:sz w:val="24"/>
          <w:szCs w:val="24"/>
        </w:rPr>
        <w:t>numer.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1DC4" w:rsidRPr="003D316B" w:rsidRDefault="00081DC4" w:rsidP="00081DC4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Jane Austen,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Pride and Prejudice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(New York: Penguin Classics, 2007),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wersja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Kindle.</w:t>
      </w:r>
    </w:p>
    <w:p w:rsidR="00081DC4" w:rsidRPr="003D316B" w:rsidRDefault="00081DC4" w:rsidP="00081DC4">
      <w:pPr>
        <w:pStyle w:val="Akapitzlist"/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</w:p>
    <w:p w:rsidR="00081DC4" w:rsidRPr="003D316B" w:rsidRDefault="00081DC4" w:rsidP="00081D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Philip B. Kurland, Ralph Lerner, red.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Founders’ Constitution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(Chicago: Un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i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versity of Chicago Press, 1987),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dostęp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28.02.2010, http://press-pubs.uchicago.edu/founders.</w:t>
      </w:r>
    </w:p>
    <w:p w:rsidR="00081DC4" w:rsidRPr="003D316B" w:rsidRDefault="00081DC4" w:rsidP="00081DC4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DC4" w:rsidRPr="003D316B" w:rsidRDefault="00081DC4" w:rsidP="00081DC4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Austen, Jane.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Pride and Prejudice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New York: Penguin Classics, 2007.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Wersja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Kindle.</w:t>
      </w:r>
    </w:p>
    <w:p w:rsidR="00081DC4" w:rsidRPr="003D316B" w:rsidRDefault="00081DC4" w:rsidP="00081DC4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081DC4" w:rsidRPr="008F304A" w:rsidRDefault="00081DC4" w:rsidP="00081D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Kurland, Philip B., Ralph Lerner, red.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Founders’ Constitution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 Chicago: Un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versity of Chicago Press, 1987. 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Dostęp 28.02.2010. http://press-pubs.uchicago.edu/founders.</w:t>
      </w:r>
    </w:p>
    <w:p w:rsidR="00081DC4" w:rsidRPr="008F304A" w:rsidRDefault="00081DC4" w:rsidP="00081DC4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Recenzja książki</w:t>
      </w:r>
    </w:p>
    <w:p w:rsidR="00081DC4" w:rsidRPr="008F304A" w:rsidRDefault="00081DC4" w:rsidP="00081DC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Janusz Kowal, „Zrozumieć siebie”, rec. książki </w:t>
      </w:r>
      <w:r w:rsidRPr="008F304A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Świat nie taki zły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Adama Nowaka, </w:t>
      </w:r>
      <w:r w:rsidRPr="008F304A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Pogranicza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12 (2006).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Kowal, Janusz. Rec. książki </w:t>
      </w:r>
      <w:r w:rsidRPr="008F304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Świat nie taki zły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Adama Nowaka. </w:t>
      </w:r>
      <w:r w:rsidRPr="008F304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Pogranicza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12 (2006): 10–16.</w:t>
      </w:r>
    </w:p>
    <w:p w:rsidR="00081DC4" w:rsidRPr="008F304A" w:rsidRDefault="00081DC4" w:rsidP="00081DC4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Rozprawy naukowe</w:t>
      </w:r>
    </w:p>
    <w:p w:rsidR="00081DC4" w:rsidRPr="008F304A" w:rsidRDefault="00081DC4" w:rsidP="00081DC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Janusz Król, „Studia nad językiem” (rozprawa doktorska, Uniwersytet Warsza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ski, 2008).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Król Janusz. „Studia nad językiem”. Rozprawa doktorska, Uniwersytet Warsza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ski, 2008.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konferencyjne</w:t>
      </w:r>
    </w:p>
    <w:p w:rsidR="00081DC4" w:rsidRPr="008F304A" w:rsidRDefault="00081DC4" w:rsidP="00081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Rachel Adelman, „«Zrozumieć czytanie»: nowe metody” (materiały konferency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j</w:t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ne ze spotkania Stowarzyszenia Bibliotekarzy, Warszawa, 21–24 listopada, 2009).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Adelman Rachel. „«Zrozumieć czytanie»: nowe metody”. Materiały konferency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</w:t>
      </w: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ne ze spotkania Stowarzyszenia Bibliotekarzy, Warszawa, 21–24 listopada, 2009.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w wydrukowanym czasopiśmie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przypisie – wskazywanie stron nie jest konieczne. W bibliografii wskazuje się zakres stron dla całego artykułu.</w:t>
      </w:r>
    </w:p>
    <w:p w:rsidR="00081DC4" w:rsidRPr="003D316B" w:rsidRDefault="00081DC4" w:rsidP="00081DC4">
      <w:pPr>
        <w:spacing w:after="0" w:line="240" w:lineRule="auto"/>
        <w:ind w:left="1134" w:hanging="36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1. 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ab/>
        <w:t xml:space="preserve">Joshua I. Weinstein, „The Market in Plato’s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Republic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”,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Classical Philology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104 (2009): 440.</w:t>
      </w:r>
    </w:p>
    <w:p w:rsidR="00081DC4" w:rsidRPr="003D316B" w:rsidRDefault="00081DC4" w:rsidP="00081DC4">
      <w:pPr>
        <w:spacing w:after="0" w:line="240" w:lineRule="auto"/>
        <w:ind w:left="1134" w:hanging="3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DC4" w:rsidRPr="008F304A" w:rsidRDefault="00081DC4" w:rsidP="00081DC4">
      <w:pPr>
        <w:pStyle w:val="Akapitzlist"/>
        <w:numPr>
          <w:ilvl w:val="0"/>
          <w:numId w:val="9"/>
        </w:numPr>
        <w:spacing w:after="0" w:line="240" w:lineRule="auto"/>
        <w:ind w:left="1134" w:hanging="36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Weinstein, Joshua I. „The Market in Plato’s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Republic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”. </w:t>
      </w:r>
      <w:proofErr w:type="spellStart"/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Classical</w:t>
      </w:r>
      <w:proofErr w:type="spellEnd"/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proofErr w:type="spellStart"/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Philology</w:t>
      </w:r>
      <w:proofErr w:type="spellEnd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104 (2009): 439–458.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1134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DC4" w:rsidRDefault="00081DC4" w:rsidP="00081DC4">
      <w:pPr>
        <w:pStyle w:val="Akapitzlist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w Zeszycie Naukowym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1DC4" w:rsidRPr="0079524B" w:rsidRDefault="00081DC4" w:rsidP="00081D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inionPro-Regular" w:hAnsi="Times New Roman" w:cs="Times New Roman"/>
          <w:b/>
          <w:color w:val="7030A0"/>
          <w:sz w:val="28"/>
          <w:szCs w:val="28"/>
        </w:rPr>
      </w:pPr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 xml:space="preserve">Jan Nowak, „Modelowanie”, </w:t>
      </w:r>
      <w:r w:rsidRPr="008F304A">
        <w:rPr>
          <w:rFonts w:ascii="Times New Roman" w:eastAsia="MinionPro-Regular" w:hAnsi="Times New Roman" w:cs="Times New Roman"/>
          <w:i/>
          <w:color w:val="7030A0"/>
          <w:sz w:val="24"/>
          <w:szCs w:val="24"/>
        </w:rPr>
        <w:t xml:space="preserve">Zeszyty Naukowe Uniwersytetu Szczecińskiego </w:t>
      </w:r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>630.</w:t>
      </w:r>
      <w:r w:rsidRPr="008F304A">
        <w:rPr>
          <w:rFonts w:ascii="Times New Roman" w:eastAsia="MinionPro-Regular" w:hAnsi="Times New Roman" w:cs="Times New Roman"/>
          <w:i/>
          <w:color w:val="7030A0"/>
          <w:sz w:val="24"/>
          <w:szCs w:val="24"/>
        </w:rPr>
        <w:t xml:space="preserve"> Finanse, Rynki Finansowe, Ubezpieczenia</w:t>
      </w:r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 xml:space="preserve"> 51 (2001), 54–56. </w:t>
      </w:r>
    </w:p>
    <w:p w:rsidR="00081DC4" w:rsidRPr="0079524B" w:rsidRDefault="00081DC4" w:rsidP="00081DC4">
      <w:pPr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eastAsia="MinionPro-Regular" w:hAnsi="Times New Roman" w:cs="Times New Roman"/>
          <w:b/>
          <w:color w:val="7030A0"/>
          <w:sz w:val="28"/>
          <w:szCs w:val="28"/>
        </w:rPr>
      </w:pPr>
    </w:p>
    <w:p w:rsidR="00081DC4" w:rsidRPr="008F304A" w:rsidRDefault="00081DC4" w:rsidP="00081D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inionPro-Regular" w:hAnsi="Times New Roman" w:cs="Times New Roman"/>
          <w:b/>
          <w:color w:val="FF0000"/>
          <w:sz w:val="28"/>
          <w:szCs w:val="28"/>
        </w:rPr>
      </w:pPr>
      <w:r w:rsidRPr="008F304A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Nowak, Jan. „Modelowanie”. </w:t>
      </w:r>
      <w:r w:rsidRPr="008F304A">
        <w:rPr>
          <w:rFonts w:ascii="Times New Roman" w:eastAsia="MinionPro-Regular" w:hAnsi="Times New Roman" w:cs="Times New Roman"/>
          <w:i/>
          <w:color w:val="FF0000"/>
          <w:sz w:val="24"/>
          <w:szCs w:val="24"/>
        </w:rPr>
        <w:t xml:space="preserve">Zeszyty Naukowe Uniwersytetu Szczecińskiego </w:t>
      </w:r>
      <w:r w:rsidRPr="008F304A">
        <w:rPr>
          <w:rFonts w:ascii="Times New Roman" w:eastAsia="MinionPro-Regular" w:hAnsi="Times New Roman" w:cs="Times New Roman"/>
          <w:color w:val="FF0000"/>
          <w:sz w:val="24"/>
          <w:szCs w:val="24"/>
        </w:rPr>
        <w:t>630.</w:t>
      </w:r>
      <w:r w:rsidRPr="008F304A">
        <w:rPr>
          <w:rFonts w:ascii="Times New Roman" w:eastAsia="MinionPro-Regular" w:hAnsi="Times New Roman" w:cs="Times New Roman"/>
          <w:i/>
          <w:color w:val="FF0000"/>
          <w:sz w:val="24"/>
          <w:szCs w:val="24"/>
        </w:rPr>
        <w:t xml:space="preserve"> Finanse, Rynki Finansowe, Ubezpieczenia</w:t>
      </w:r>
      <w:r w:rsidRPr="008F304A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51 (2001): 54–56. </w:t>
      </w:r>
    </w:p>
    <w:p w:rsidR="00081DC4" w:rsidRPr="008F304A" w:rsidRDefault="00081DC4" w:rsidP="00081D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w czasopiśmie online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identyfikator DOI (jeśli czasopismo ma DOI), jeśli identyfikator jest niedostępny, należy podać adres URL; adresy powinny zawierać datę dostępu tylko wtedy, gdy wymaga tego wydawca lub wymagane to jest w danej dziedzinie nauki.</w:t>
      </w:r>
    </w:p>
    <w:p w:rsidR="00081DC4" w:rsidRPr="003D316B" w:rsidRDefault="00081DC4" w:rsidP="00081DC4">
      <w:pPr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. 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ab/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Gueorgi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Kossinets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Duncan J. Watts, „Origins of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Homophily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in an Evolving S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o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cial Network”,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American Journal of Sociology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115 (2009): 411,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dostęp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28.02.2010, DOI: 10.1086/599247.</w:t>
      </w:r>
    </w:p>
    <w:p w:rsidR="00081DC4" w:rsidRPr="003D316B" w:rsidRDefault="00081DC4" w:rsidP="00081DC4">
      <w:pPr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81DC4" w:rsidRDefault="00081DC4" w:rsidP="00081DC4">
      <w:pPr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ab/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Kossinets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Gueorgi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Duncan J. Watts. „Origins of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Homophily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in an Evolving S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o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cial Network”. </w:t>
      </w:r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American </w:t>
      </w:r>
      <w:proofErr w:type="spellStart"/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Journal</w:t>
      </w:r>
      <w:proofErr w:type="spellEnd"/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of </w:t>
      </w:r>
      <w:proofErr w:type="spellStart"/>
      <w:r w:rsidRPr="008F304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Sociology</w:t>
      </w:r>
      <w:proofErr w:type="spellEnd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115 (2009): 405–450. Dostęp 28.02.2010. DOI: 10.1086/599247.</w:t>
      </w:r>
    </w:p>
    <w:p w:rsidR="00081DC4" w:rsidRPr="008F304A" w:rsidRDefault="00081DC4" w:rsidP="00081DC4">
      <w:pPr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w gazecie lub popularnym czasopiśmie</w:t>
      </w:r>
    </w:p>
    <w:p w:rsidR="00081DC4" w:rsidRPr="008F304A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artykuł opublikowany jest w </w:t>
      </w:r>
      <w:proofErr w:type="spellStart"/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podaje się adres URL (data dostępu, gdy w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maga tego wydawca lub wymagane to jest w danej dziedzinie nauki). Jeśli nie można zident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304A">
        <w:rPr>
          <w:rFonts w:ascii="Times New Roman" w:eastAsia="Times New Roman" w:hAnsi="Times New Roman" w:cs="Times New Roman"/>
          <w:sz w:val="24"/>
          <w:szCs w:val="24"/>
          <w:lang w:eastAsia="pl-PL"/>
        </w:rPr>
        <w:t>fikować autora, przypis rozpoczyna tytuł artykułu.</w:t>
      </w:r>
    </w:p>
    <w:p w:rsidR="00081DC4" w:rsidRPr="008F304A" w:rsidRDefault="00081DC4" w:rsidP="00081DC4">
      <w:pPr>
        <w:spacing w:after="0" w:line="240" w:lineRule="auto"/>
        <w:ind w:left="1134" w:hanging="3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ab/>
      </w:r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Daniel Mendelsohn, „But </w:t>
      </w:r>
      <w:proofErr w:type="spellStart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Enough</w:t>
      </w:r>
      <w:proofErr w:type="spellEnd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proofErr w:type="spellStart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about</w:t>
      </w:r>
      <w:proofErr w:type="spellEnd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Me”, </w:t>
      </w:r>
      <w:r w:rsidRPr="008F304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New </w:t>
      </w:r>
      <w:proofErr w:type="spellStart"/>
      <w:r w:rsidRPr="008F304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>Yorker</w:t>
      </w:r>
      <w:proofErr w:type="spellEnd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 25.01.2010, 68.</w:t>
      </w:r>
    </w:p>
    <w:p w:rsidR="00081DC4" w:rsidRPr="008F304A" w:rsidRDefault="00081DC4" w:rsidP="00081DC4">
      <w:pPr>
        <w:spacing w:after="0" w:line="240" w:lineRule="auto"/>
        <w:ind w:left="1134" w:hanging="3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3D316B" w:rsidRDefault="00081DC4" w:rsidP="00081D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Sheryl Gay Stolberg, Robert Pear, „Wary Centrists Posing Challenge in Health Care Vote”, </w:t>
      </w:r>
      <w:r w:rsidRPr="003D316B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New York Times</w:t>
      </w:r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27.02.2010, </w:t>
      </w:r>
      <w:proofErr w:type="spellStart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dostęp</w:t>
      </w:r>
      <w:proofErr w:type="spellEnd"/>
      <w:r w:rsidRPr="003D316B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28.02.2010, http://www.nytimes.com/2010/02/28/us/politics/28health.html.</w:t>
      </w:r>
    </w:p>
    <w:p w:rsidR="00081DC4" w:rsidRPr="003D316B" w:rsidRDefault="00081DC4" w:rsidP="00081DC4">
      <w:pPr>
        <w:spacing w:after="0" w:line="240" w:lineRule="auto"/>
        <w:ind w:left="1134" w:hanging="3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</w:p>
    <w:p w:rsidR="00081DC4" w:rsidRPr="003D316B" w:rsidRDefault="00081DC4" w:rsidP="00081DC4">
      <w:pPr>
        <w:spacing w:after="0" w:line="240" w:lineRule="auto"/>
        <w:ind w:left="1134" w:hanging="3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ab/>
        <w:t xml:space="preserve">Mendelsohn, Daniel. „But Enough about Me”.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New Yorker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, 25.01.2010.</w:t>
      </w:r>
    </w:p>
    <w:p w:rsidR="00081DC4" w:rsidRPr="003D316B" w:rsidRDefault="00081DC4" w:rsidP="00081DC4">
      <w:pPr>
        <w:spacing w:after="0" w:line="240" w:lineRule="auto"/>
        <w:ind w:left="1134" w:hanging="3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081DC4" w:rsidRPr="003D316B" w:rsidRDefault="00081DC4" w:rsidP="00081D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Stolberg, Sheryl Gay, Robert Pear. „Wary Centrists Posing Challenge in Health Care Vote”. </w:t>
      </w:r>
      <w:r w:rsidRPr="003D31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New York Times</w:t>
      </w:r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27.02.2010. </w:t>
      </w:r>
      <w:proofErr w:type="spellStart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Dostęp</w:t>
      </w:r>
      <w:proofErr w:type="spellEnd"/>
      <w:r w:rsidRPr="003D31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28.02.2010. http://www.nytimes.com/2010/02/28/us/politics/28health.html.</w:t>
      </w:r>
    </w:p>
    <w:p w:rsidR="00081DC4" w:rsidRPr="003D316B" w:rsidRDefault="00081DC4" w:rsidP="00081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81DC4" w:rsidRPr="008F304A" w:rsidRDefault="00081DC4" w:rsidP="00081DC4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Źródła internetowe</w:t>
      </w:r>
    </w:p>
    <w:p w:rsidR="00081DC4" w:rsidRPr="008F304A" w:rsidRDefault="00081DC4" w:rsidP="00081DC4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Cytowanie ze źródeł internetowych (gdy nie ma autora 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ekstu – pobranie/korzystanie ze </w:t>
      </w:r>
      <w:r w:rsidRPr="008F3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internetowej)</w:t>
      </w:r>
    </w:p>
    <w:p w:rsidR="00081DC4" w:rsidRPr="008F304A" w:rsidRDefault="00081DC4" w:rsidP="00081D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48" w:hanging="32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spellStart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MNiSW</w:t>
      </w:r>
      <w:proofErr w:type="spellEnd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 dostęp 2.07.2011, www.mnisw.gov.pl.</w:t>
      </w:r>
    </w:p>
    <w:p w:rsidR="00081DC4" w:rsidRPr="0079524B" w:rsidRDefault="00081DC4" w:rsidP="00081DC4">
      <w:pPr>
        <w:autoSpaceDE w:val="0"/>
        <w:autoSpaceDN w:val="0"/>
        <w:adjustRightInd w:val="0"/>
        <w:spacing w:before="120" w:after="120" w:line="240" w:lineRule="auto"/>
        <w:ind w:left="1148" w:hanging="3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Ponowne cytowanie:</w:t>
      </w:r>
    </w:p>
    <w:p w:rsidR="00081DC4" w:rsidRDefault="00081DC4" w:rsidP="00081DC4">
      <w:pPr>
        <w:pStyle w:val="Akapitzlist"/>
        <w:autoSpaceDE w:val="0"/>
        <w:autoSpaceDN w:val="0"/>
        <w:adjustRightInd w:val="0"/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spellStart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MNiSW</w:t>
      </w:r>
      <w:proofErr w:type="spellEnd"/>
      <w:r w:rsidRPr="008F304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.</w:t>
      </w:r>
    </w:p>
    <w:p w:rsidR="00081DC4" w:rsidRDefault="00081DC4" w:rsidP="00081DC4">
      <w:pPr>
        <w:pStyle w:val="Akapitzlist"/>
        <w:autoSpaceDE w:val="0"/>
        <w:autoSpaceDN w:val="0"/>
        <w:adjustRightInd w:val="0"/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autoSpaceDE w:val="0"/>
        <w:autoSpaceDN w:val="0"/>
        <w:adjustRightInd w:val="0"/>
        <w:spacing w:after="0" w:line="240" w:lineRule="auto"/>
        <w:ind w:left="114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2632F" w:rsidRDefault="00081DC4" w:rsidP="00081D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6" w:hanging="336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2632F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„Jak rozliczać szkołę”, dostęp 2.07.2011, www.mnisw.gov.pl.</w:t>
      </w:r>
    </w:p>
    <w:p w:rsidR="00081DC4" w:rsidRPr="0079524B" w:rsidRDefault="00081DC4" w:rsidP="00081DC4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5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Ponowne cytowanie:</w:t>
      </w:r>
    </w:p>
    <w:p w:rsidR="00081DC4" w:rsidRDefault="00081DC4" w:rsidP="00081DC4">
      <w:pPr>
        <w:autoSpaceDE w:val="0"/>
        <w:autoSpaceDN w:val="0"/>
        <w:adjustRightInd w:val="0"/>
        <w:spacing w:after="0" w:line="240" w:lineRule="auto"/>
        <w:ind w:left="851" w:firstLine="29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79524B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„Jak rozliczać szkołę”.</w:t>
      </w:r>
    </w:p>
    <w:p w:rsidR="00081DC4" w:rsidRPr="0079524B" w:rsidRDefault="00081DC4" w:rsidP="00081DC4">
      <w:pPr>
        <w:autoSpaceDE w:val="0"/>
        <w:autoSpaceDN w:val="0"/>
        <w:adjustRightInd w:val="0"/>
        <w:spacing w:after="0" w:line="240" w:lineRule="auto"/>
        <w:ind w:left="851" w:firstLine="29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F304A" w:rsidRDefault="00081DC4" w:rsidP="00081DC4">
      <w:pPr>
        <w:pStyle w:val="Akapitzlist"/>
        <w:autoSpaceDE w:val="0"/>
        <w:autoSpaceDN w:val="0"/>
        <w:adjustRightInd w:val="0"/>
        <w:spacing w:after="0" w:line="240" w:lineRule="auto"/>
        <w:ind w:left="1148" w:hanging="32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081DC4" w:rsidRPr="0082632F" w:rsidRDefault="00081DC4" w:rsidP="00081DC4">
      <w:pPr>
        <w:spacing w:after="0" w:line="276" w:lineRule="auto"/>
        <w:ind w:left="1176" w:hanging="308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3.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ab/>
      </w:r>
      <w:proofErr w:type="spellStart"/>
      <w:r w:rsidRPr="0082632F">
        <w:rPr>
          <w:rFonts w:ascii="Times New Roman" w:eastAsia="MinionPro-Regular" w:hAnsi="Times New Roman" w:cs="Times New Roman"/>
          <w:color w:val="FF0000"/>
          <w:sz w:val="24"/>
          <w:szCs w:val="24"/>
        </w:rPr>
        <w:t>MNiSW</w:t>
      </w:r>
      <w:proofErr w:type="spellEnd"/>
      <w:r w:rsidRPr="0082632F">
        <w:rPr>
          <w:rFonts w:ascii="Times New Roman" w:eastAsia="MinionPro-Regular" w:hAnsi="Times New Roman" w:cs="Times New Roman"/>
          <w:color w:val="FF0000"/>
          <w:sz w:val="24"/>
          <w:szCs w:val="24"/>
        </w:rPr>
        <w:t>. Dostęp 2.07.2011. www.mnisw.gov.pl.</w:t>
      </w:r>
    </w:p>
    <w:p w:rsidR="00081DC4" w:rsidRPr="008F304A" w:rsidRDefault="00081DC4" w:rsidP="00081DC4">
      <w:pPr>
        <w:pStyle w:val="Akapitzlist"/>
        <w:autoSpaceDE w:val="0"/>
        <w:autoSpaceDN w:val="0"/>
        <w:adjustRightInd w:val="0"/>
        <w:spacing w:before="120" w:after="0" w:line="276" w:lineRule="auto"/>
        <w:ind w:left="1145"/>
        <w:contextualSpacing w:val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„Jak rozliczać szkołę”. Dostęp 2.07.2011. www.mnisw.gov.pl.</w:t>
      </w:r>
    </w:p>
    <w:p w:rsidR="00081DC4" w:rsidRDefault="00081DC4" w:rsidP="00081DC4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</w:p>
    <w:p w:rsidR="00081DC4" w:rsidRDefault="00081DC4" w:rsidP="00081DC4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</w:p>
    <w:p w:rsidR="00081DC4" w:rsidRPr="008F304A" w:rsidRDefault="00081DC4" w:rsidP="00081DC4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  <w:r w:rsidRPr="008F304A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Akty prawne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</w:p>
    <w:p w:rsidR="00081DC4" w:rsidRPr="008F304A" w:rsidRDefault="00081DC4" w:rsidP="00081DC4">
      <w:pPr>
        <w:pStyle w:val="Akapitzlist"/>
        <w:numPr>
          <w:ilvl w:val="0"/>
          <w:numId w:val="13"/>
        </w:numPr>
        <w:ind w:left="1276" w:hanging="425"/>
        <w:jc w:val="both"/>
        <w:rPr>
          <w:rFonts w:ascii="Times New Roman" w:eastAsia="MinionPro-Regular" w:hAnsi="Times New Roman" w:cs="Times New Roman"/>
          <w:color w:val="7030A0"/>
          <w:sz w:val="24"/>
          <w:szCs w:val="24"/>
        </w:rPr>
      </w:pPr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>Ustawa z 2.10.2005 o podatku dochodowym, Dz.U. 2006</w:t>
      </w:r>
      <w:r>
        <w:rPr>
          <w:rFonts w:ascii="Times New Roman" w:eastAsia="MinionPro-Regular" w:hAnsi="Times New Roman" w:cs="Times New Roman"/>
          <w:color w:val="7030A0"/>
          <w:sz w:val="24"/>
          <w:szCs w:val="24"/>
        </w:rPr>
        <w:t>, nr 20, poz. 456, z </w:t>
      </w:r>
      <w:proofErr w:type="spellStart"/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>późn</w:t>
      </w:r>
      <w:proofErr w:type="spellEnd"/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>. zm., art. 25, par. 145.</w:t>
      </w:r>
    </w:p>
    <w:p w:rsidR="00081DC4" w:rsidRPr="0082632F" w:rsidRDefault="00081DC4" w:rsidP="00081DC4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6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Ponowne cytowanie:</w:t>
      </w:r>
    </w:p>
    <w:p w:rsidR="00081DC4" w:rsidRPr="008F304A" w:rsidRDefault="00081DC4" w:rsidP="00081DC4">
      <w:pPr>
        <w:ind w:left="1276"/>
        <w:jc w:val="both"/>
        <w:rPr>
          <w:rFonts w:ascii="Times New Roman" w:eastAsia="MinionPro-Regular" w:hAnsi="Times New Roman" w:cs="Times New Roman"/>
          <w:color w:val="7030A0"/>
          <w:sz w:val="24"/>
          <w:szCs w:val="24"/>
        </w:rPr>
      </w:pPr>
      <w:r w:rsidRPr="008F304A">
        <w:rPr>
          <w:rFonts w:ascii="Times New Roman" w:eastAsia="MinionPro-Regular" w:hAnsi="Times New Roman" w:cs="Times New Roman"/>
          <w:color w:val="7030A0"/>
          <w:sz w:val="24"/>
          <w:szCs w:val="24"/>
        </w:rPr>
        <w:t>Ustawa z 2.10.2005.</w:t>
      </w:r>
    </w:p>
    <w:p w:rsidR="00081DC4" w:rsidRPr="008F304A" w:rsidRDefault="00081DC4" w:rsidP="00081DC4">
      <w:pPr>
        <w:pStyle w:val="Akapitzlist"/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081DC4" w:rsidRPr="008F304A" w:rsidRDefault="00081DC4" w:rsidP="00081DC4">
      <w:pPr>
        <w:pStyle w:val="Akapitzlist"/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 z 2.10.2005 o podatku dochodowym. Dz.U. 2006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nr 20, poz. 456, z </w:t>
      </w:r>
      <w:proofErr w:type="spellStart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późn</w:t>
      </w:r>
      <w:proofErr w:type="spellEnd"/>
      <w:r w:rsidRPr="008F30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zm.</w:t>
      </w:r>
    </w:p>
    <w:p w:rsidR="00081DC4" w:rsidRPr="008F304A" w:rsidRDefault="00081DC4" w:rsidP="00081DC4">
      <w:pPr>
        <w:spacing w:after="0" w:line="240" w:lineRule="auto"/>
        <w:ind w:left="1276" w:hanging="425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8E3822" w:rsidRPr="008F304A" w:rsidRDefault="008E3822" w:rsidP="00081DC4">
      <w:pPr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sectPr w:rsidR="008E3822" w:rsidRPr="008F304A" w:rsidSect="00CB3F0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30"/>
    <w:multiLevelType w:val="hybridMultilevel"/>
    <w:tmpl w:val="4FC4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942"/>
    <w:multiLevelType w:val="hybridMultilevel"/>
    <w:tmpl w:val="6A641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031"/>
    <w:multiLevelType w:val="hybridMultilevel"/>
    <w:tmpl w:val="875E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6E3A"/>
    <w:multiLevelType w:val="multilevel"/>
    <w:tmpl w:val="F5EA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A79E1"/>
    <w:multiLevelType w:val="multilevel"/>
    <w:tmpl w:val="193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1763C"/>
    <w:multiLevelType w:val="hybridMultilevel"/>
    <w:tmpl w:val="81A89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0347"/>
    <w:multiLevelType w:val="hybridMultilevel"/>
    <w:tmpl w:val="B280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FA2"/>
    <w:multiLevelType w:val="hybridMultilevel"/>
    <w:tmpl w:val="D7C8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7DD0"/>
    <w:multiLevelType w:val="hybridMultilevel"/>
    <w:tmpl w:val="6640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7AA9"/>
    <w:multiLevelType w:val="hybridMultilevel"/>
    <w:tmpl w:val="9684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2884"/>
    <w:multiLevelType w:val="hybridMultilevel"/>
    <w:tmpl w:val="5FF6BFFC"/>
    <w:lvl w:ilvl="0" w:tplc="9A5EB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5F6F"/>
    <w:multiLevelType w:val="multilevel"/>
    <w:tmpl w:val="E30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026C4"/>
    <w:multiLevelType w:val="hybridMultilevel"/>
    <w:tmpl w:val="868E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C58C5"/>
    <w:multiLevelType w:val="hybridMultilevel"/>
    <w:tmpl w:val="97A8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F03AA"/>
    <w:multiLevelType w:val="hybridMultilevel"/>
    <w:tmpl w:val="E71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17E6"/>
    <w:multiLevelType w:val="hybridMultilevel"/>
    <w:tmpl w:val="CE76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4473A"/>
    <w:multiLevelType w:val="multilevel"/>
    <w:tmpl w:val="88B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E540B"/>
    <w:multiLevelType w:val="hybridMultilevel"/>
    <w:tmpl w:val="74E4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9359B"/>
    <w:multiLevelType w:val="multilevel"/>
    <w:tmpl w:val="968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18"/>
  </w:num>
  <w:num w:numId="6">
    <w:abstractNumId w:val="2"/>
  </w:num>
  <w:num w:numId="7">
    <w:abstractNumId w:val="1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01781"/>
    <w:rsid w:val="00001781"/>
    <w:rsid w:val="00025B67"/>
    <w:rsid w:val="00054845"/>
    <w:rsid w:val="00081DC4"/>
    <w:rsid w:val="000A4087"/>
    <w:rsid w:val="000A47B2"/>
    <w:rsid w:val="001C55E1"/>
    <w:rsid w:val="002839DD"/>
    <w:rsid w:val="00291BE0"/>
    <w:rsid w:val="00296574"/>
    <w:rsid w:val="002E2F9D"/>
    <w:rsid w:val="003167F5"/>
    <w:rsid w:val="00327A88"/>
    <w:rsid w:val="00395C6C"/>
    <w:rsid w:val="003A3697"/>
    <w:rsid w:val="003E40C0"/>
    <w:rsid w:val="003F464A"/>
    <w:rsid w:val="004B65AD"/>
    <w:rsid w:val="004D4EB4"/>
    <w:rsid w:val="004F05FA"/>
    <w:rsid w:val="004F19CB"/>
    <w:rsid w:val="0050172E"/>
    <w:rsid w:val="00513FB6"/>
    <w:rsid w:val="0053706F"/>
    <w:rsid w:val="00593DF4"/>
    <w:rsid w:val="005F45E1"/>
    <w:rsid w:val="00615C01"/>
    <w:rsid w:val="0066104B"/>
    <w:rsid w:val="006E3531"/>
    <w:rsid w:val="007317D7"/>
    <w:rsid w:val="0079524B"/>
    <w:rsid w:val="008058D2"/>
    <w:rsid w:val="0082632F"/>
    <w:rsid w:val="00854015"/>
    <w:rsid w:val="008E3822"/>
    <w:rsid w:val="008F304A"/>
    <w:rsid w:val="00960150"/>
    <w:rsid w:val="009A610D"/>
    <w:rsid w:val="009D7173"/>
    <w:rsid w:val="009E39F4"/>
    <w:rsid w:val="009E6614"/>
    <w:rsid w:val="00AD700A"/>
    <w:rsid w:val="00B26B09"/>
    <w:rsid w:val="00BB29E8"/>
    <w:rsid w:val="00BB6D1F"/>
    <w:rsid w:val="00BE34EF"/>
    <w:rsid w:val="00BF6AFF"/>
    <w:rsid w:val="00C1618B"/>
    <w:rsid w:val="00C3497D"/>
    <w:rsid w:val="00C5450A"/>
    <w:rsid w:val="00CB3F05"/>
    <w:rsid w:val="00D85CF6"/>
    <w:rsid w:val="00DF73AC"/>
    <w:rsid w:val="00E315BC"/>
    <w:rsid w:val="00E7489C"/>
    <w:rsid w:val="00EE0514"/>
    <w:rsid w:val="00F72D72"/>
    <w:rsid w:val="00F7742F"/>
    <w:rsid w:val="00F876C9"/>
    <w:rsid w:val="00FA63D1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7B2"/>
    <w:pPr>
      <w:ind w:left="720"/>
      <w:contextualSpacing/>
    </w:pPr>
  </w:style>
  <w:style w:type="character" w:customStyle="1" w:styleId="hps">
    <w:name w:val="hps"/>
    <w:basedOn w:val="Domylnaczcionkaakapitu"/>
    <w:rsid w:val="00AD700A"/>
  </w:style>
  <w:style w:type="character" w:styleId="Hipercze">
    <w:name w:val="Hyperlink"/>
    <w:basedOn w:val="Domylnaczcionkaakapitu"/>
    <w:uiPriority w:val="99"/>
    <w:unhideWhenUsed/>
    <w:rsid w:val="00FC050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4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7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2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3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9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27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3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e.blicharska</dc:creator>
  <cp:lastModifiedBy>user</cp:lastModifiedBy>
  <cp:revision>10</cp:revision>
  <dcterms:created xsi:type="dcterms:W3CDTF">2017-02-07T11:00:00Z</dcterms:created>
  <dcterms:modified xsi:type="dcterms:W3CDTF">2018-02-26T17:52:00Z</dcterms:modified>
</cp:coreProperties>
</file>